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33AE" w14:textId="61495589" w:rsidR="00971975" w:rsidRPr="00971975" w:rsidRDefault="00971975" w:rsidP="00971975">
      <w:pPr>
        <w:pStyle w:val="TYTUAKTUprzedmiotregulacjiustawylubrozporzdzenia"/>
      </w:pPr>
      <w:r w:rsidRPr="00971975">
        <w:t xml:space="preserve">Regulamin udzielania patronatu </w:t>
      </w:r>
      <w:r>
        <w:br/>
      </w:r>
      <w:r w:rsidRPr="00971975">
        <w:t>przez Młodzieżowy Sejmik Województwa Zachodniopomorskiego</w:t>
      </w:r>
    </w:p>
    <w:p w14:paraId="749EA427" w14:textId="77777777" w:rsidR="00971975" w:rsidRPr="00971975" w:rsidRDefault="00971975" w:rsidP="00971975">
      <w:pPr>
        <w:pStyle w:val="ARTartustawynprozporzdzenia"/>
      </w:pPr>
      <w:r w:rsidRPr="00971975">
        <w:rPr>
          <w:rStyle w:val="Ppogrubienie"/>
        </w:rPr>
        <w:t>§ 1. </w:t>
      </w:r>
      <w:r w:rsidRPr="00971975">
        <w:t>1. Regulamin określa zasady udzielania patronatu honorowego przez Młodzieżowy Sejmik Województwa Zachodniopomorskiego, zwany dalej „Sejmikiem”.</w:t>
      </w:r>
    </w:p>
    <w:p w14:paraId="050C5572" w14:textId="77777777" w:rsidR="00971975" w:rsidRPr="00971975" w:rsidRDefault="00971975" w:rsidP="00971975">
      <w:pPr>
        <w:pStyle w:val="USTustnpkodeksu"/>
      </w:pPr>
      <w:r w:rsidRPr="00971975">
        <w:t>2. Patronat stanowi wyróżnienie o charakterze uznaniowym, podkreślające szczególną wartość wydarzenia, inicjatywy lub projektu zgodnego z misją Sejmiku, promującego wartości młodzieżowe, edukacyjne, kulturalne, społeczne i ekologiczne.</w:t>
      </w:r>
    </w:p>
    <w:p w14:paraId="4536B1D5" w14:textId="77777777" w:rsidR="00971975" w:rsidRPr="00971975" w:rsidRDefault="00971975" w:rsidP="00971975">
      <w:pPr>
        <w:pStyle w:val="USTustnpkodeksu"/>
      </w:pPr>
      <w:r w:rsidRPr="00971975">
        <w:t>3. Ilekroć w Regulaminie jest mowa o:</w:t>
      </w:r>
    </w:p>
    <w:p w14:paraId="5E5113CA" w14:textId="77777777" w:rsidR="00971975" w:rsidRPr="00971975" w:rsidRDefault="00971975" w:rsidP="00971975">
      <w:pPr>
        <w:pStyle w:val="PKTpunkt"/>
      </w:pPr>
      <w:r w:rsidRPr="00971975">
        <w:t>1)</w:t>
      </w:r>
      <w:r w:rsidRPr="00971975">
        <w:tab/>
        <w:t>„Sejmiku” – rozumie się przez to Młodzieżowy Sejmik Województwa Zachodniopomorskiego;</w:t>
      </w:r>
    </w:p>
    <w:p w14:paraId="67711D4C" w14:textId="77777777" w:rsidR="00971975" w:rsidRPr="00971975" w:rsidRDefault="00971975" w:rsidP="00971975">
      <w:pPr>
        <w:pStyle w:val="PKTpunkt"/>
      </w:pPr>
      <w:r w:rsidRPr="00971975">
        <w:t>2)</w:t>
      </w:r>
      <w:r w:rsidRPr="00971975">
        <w:tab/>
        <w:t>„wnioskodawcy” – rozumie się przez to osobę fizyczną, organizację lub instytucję składającą wniosek o udzielenie patronatu;</w:t>
      </w:r>
    </w:p>
    <w:p w14:paraId="797DE28B" w14:textId="77777777" w:rsidR="00971975" w:rsidRPr="00971975" w:rsidRDefault="00971975" w:rsidP="00971975">
      <w:pPr>
        <w:pStyle w:val="PKTpunkt"/>
      </w:pPr>
      <w:r w:rsidRPr="00971975">
        <w:t>3)</w:t>
      </w:r>
      <w:r w:rsidRPr="00971975">
        <w:tab/>
        <w:t>„patronacie” – rozumie się przez to patronat honorowy, o którym mowa w § 6 pkt 9 Statutu Sejmiku, czyli wyróżnienie podkreślające szczególny charakter wydarzenia, inicjatywy lub projektu, przyznawane na zasadach określonych w regulaminie.</w:t>
      </w:r>
    </w:p>
    <w:p w14:paraId="6D68EAF3" w14:textId="77777777" w:rsidR="00971975" w:rsidRPr="00971975" w:rsidRDefault="00971975" w:rsidP="00971975">
      <w:pPr>
        <w:pStyle w:val="ARTartustawynprozporzdzenia"/>
      </w:pPr>
      <w:r w:rsidRPr="00971975">
        <w:rPr>
          <w:rStyle w:val="Ppogrubienie"/>
        </w:rPr>
        <w:t>§ 2. </w:t>
      </w:r>
      <w:r w:rsidRPr="00971975">
        <w:t>1. Patronatem obejmowane są inicjatywy o zasięgu lokalnym, regionalnym, a także te o szczególnym znaczeniu dla młodzieży.</w:t>
      </w:r>
    </w:p>
    <w:p w14:paraId="6D0A613D" w14:textId="77777777" w:rsidR="00971975" w:rsidRPr="00971975" w:rsidRDefault="00971975" w:rsidP="00971975">
      <w:pPr>
        <w:pStyle w:val="USTustnpkodeksu"/>
      </w:pPr>
      <w:r w:rsidRPr="00971975">
        <w:t>2. Wnioski o patronat mogą dotyczyć wydarzeń edukacyjnych, kulturalnych, społecznych, ekologicznych lub innych, które promują wartości młodzieżowe i są zgodne z misją Sejmiku.</w:t>
      </w:r>
    </w:p>
    <w:p w14:paraId="42414FD4" w14:textId="77777777" w:rsidR="00971975" w:rsidRPr="00971975" w:rsidRDefault="00971975" w:rsidP="00971975">
      <w:pPr>
        <w:pStyle w:val="USTustnpkodeksu"/>
      </w:pPr>
      <w:r w:rsidRPr="00971975">
        <w:t>3. Udzielenie patronatu nie oznacza wsparcia finansowego ani organizacyjnego.</w:t>
      </w:r>
    </w:p>
    <w:p w14:paraId="5EA05CCB" w14:textId="3D9E540E" w:rsidR="00971975" w:rsidRPr="00971975" w:rsidRDefault="00971975" w:rsidP="00971975">
      <w:pPr>
        <w:pStyle w:val="ARTartustawynprozporzdzenia"/>
      </w:pPr>
      <w:r w:rsidRPr="00971975">
        <w:rPr>
          <w:rStyle w:val="Ppogrubienie"/>
        </w:rPr>
        <w:t>§ 3. </w:t>
      </w:r>
      <w:r w:rsidRPr="00971975">
        <w:t xml:space="preserve">1. Wnioskodawca składa wniosek o udzielenie patronatu poprzez formularz dostępny na stronie internetowej Sekretariatu </w:t>
      </w:r>
      <w:r w:rsidR="009C4C07">
        <w:t xml:space="preserve">ds. Młodzieży Województwa Zachodniopomorskiego </w:t>
      </w:r>
      <w:r w:rsidRPr="00971975">
        <w:t>(mlodziez.wzp.pl). Wzór wniosku stanowi załącznik do Regulaminu.</w:t>
      </w:r>
    </w:p>
    <w:p w14:paraId="4914BD59" w14:textId="77777777" w:rsidR="00971975" w:rsidRPr="00971975" w:rsidRDefault="00971975" w:rsidP="00971975">
      <w:pPr>
        <w:pStyle w:val="USTustnpkodeksu"/>
      </w:pPr>
      <w:r w:rsidRPr="00971975">
        <w:t>2. Wniosek musi być złożony co najmniej 30 dni przed planowanym terminem wydarzenia.</w:t>
      </w:r>
    </w:p>
    <w:p w14:paraId="0C48AA7C" w14:textId="6096EE73" w:rsidR="00971975" w:rsidRPr="00971975" w:rsidRDefault="00971975" w:rsidP="00971975">
      <w:pPr>
        <w:pStyle w:val="USTustnpkodeksu"/>
      </w:pPr>
      <w:r>
        <w:t>3</w:t>
      </w:r>
      <w:r w:rsidRPr="00971975">
        <w:t>. Przewodniczący Sejmiku sprawdza wnioski o udzielenie patronatu pod względem zgodności z przepisami Statutu i Regulaminu. Wniosek niespełniający wymagań określonych Regulaminem Przewodniczący pozostawia bez rozpoznania.</w:t>
      </w:r>
    </w:p>
    <w:p w14:paraId="5AC1135D" w14:textId="77777777" w:rsidR="00971975" w:rsidRPr="00971975" w:rsidRDefault="00971975" w:rsidP="00971975">
      <w:pPr>
        <w:pStyle w:val="ARTartustawynprozporzdzenia"/>
      </w:pPr>
      <w:r w:rsidRPr="00971975">
        <w:rPr>
          <w:rStyle w:val="Ppogrubienie"/>
        </w:rPr>
        <w:t>§ 4. </w:t>
      </w:r>
      <w:r w:rsidRPr="00971975">
        <w:t>1. Przewodniczący Sejmiku kieruje wnioski spełniające wymagania formalne pod obrady Sejmiku. Sejmik podejmuje ostateczną decyzję o udzieleniu patronatu.</w:t>
      </w:r>
    </w:p>
    <w:p w14:paraId="3C10B917" w14:textId="79F7D288" w:rsidR="00971975" w:rsidRPr="00971975" w:rsidRDefault="00971975" w:rsidP="00971975">
      <w:pPr>
        <w:pStyle w:val="USTustnpkodeksu"/>
      </w:pPr>
      <w:r w:rsidRPr="00971975">
        <w:lastRenderedPageBreak/>
        <w:t>2. Uchwała Sejmiku w sprawie przyznania</w:t>
      </w:r>
      <w:r>
        <w:t xml:space="preserve"> lub odmowy przyznania</w:t>
      </w:r>
      <w:r w:rsidRPr="00971975">
        <w:t xml:space="preserve"> patronatu ma charakter uznaniowy i nie wymaga uzasadnienia.</w:t>
      </w:r>
    </w:p>
    <w:p w14:paraId="68998D2E" w14:textId="77777777" w:rsidR="00971975" w:rsidRPr="00971975" w:rsidRDefault="00971975" w:rsidP="00971975">
      <w:pPr>
        <w:pStyle w:val="ARTartustawynprozporzdzenia"/>
      </w:pPr>
      <w:r w:rsidRPr="00971975">
        <w:rPr>
          <w:rStyle w:val="Ppogrubienie"/>
        </w:rPr>
        <w:t>§ 5. </w:t>
      </w:r>
      <w:r w:rsidRPr="00971975">
        <w:t>1. Wnioskodawca, którego wniosek o udzielenie patronatu został uwzględniony, zobowiązany jest do:</w:t>
      </w:r>
    </w:p>
    <w:p w14:paraId="65CA1824" w14:textId="77777777" w:rsidR="00971975" w:rsidRPr="00971975" w:rsidRDefault="00971975" w:rsidP="00971975">
      <w:pPr>
        <w:pStyle w:val="PKTpunkt"/>
      </w:pPr>
      <w:r w:rsidRPr="00971975">
        <w:t>1)</w:t>
      </w:r>
      <w:r w:rsidRPr="00971975">
        <w:tab/>
        <w:t>zamieszczenia informacji o patronacie w materiałach promocyjnych i na stronach internetowych związanych z przedsięwzięciem, a także oznaczenia tych materiałów graficznym znakiem patronatu Sejmiku, zwanego dalej „logiem patronatu Sejmiku”;</w:t>
      </w:r>
    </w:p>
    <w:p w14:paraId="150D15A4" w14:textId="77777777" w:rsidR="00971975" w:rsidRPr="00971975" w:rsidRDefault="00971975" w:rsidP="00971975">
      <w:pPr>
        <w:pStyle w:val="PKTpunkt"/>
      </w:pPr>
      <w:r w:rsidRPr="00971975">
        <w:t>2)</w:t>
      </w:r>
      <w:r w:rsidRPr="00971975">
        <w:tab/>
        <w:t>oznaczenia Sejmiku w materiałach promocyjnych w mediach społecznościowych;</w:t>
      </w:r>
    </w:p>
    <w:p w14:paraId="3203F205" w14:textId="77777777" w:rsidR="00971975" w:rsidRPr="00971975" w:rsidRDefault="00971975" w:rsidP="00971975">
      <w:pPr>
        <w:pStyle w:val="PKTpunkt"/>
      </w:pPr>
      <w:r w:rsidRPr="00971975">
        <w:t>3)</w:t>
      </w:r>
      <w:r w:rsidRPr="00971975">
        <w:tab/>
        <w:t>zaproszenia przedstawicieli Sejmiku na wydarzenie.</w:t>
      </w:r>
    </w:p>
    <w:p w14:paraId="5C68818E" w14:textId="77777777" w:rsidR="00971975" w:rsidRPr="00971975" w:rsidRDefault="00971975" w:rsidP="00971975">
      <w:pPr>
        <w:pStyle w:val="USTustnpkodeksu"/>
      </w:pPr>
      <w:r w:rsidRPr="00971975">
        <w:t>2. Wnioskodawca, którego wniosek o udzielenie patronatu został uwzględniony, zobowiązany jest do przestrzegania zasad określonych w księdze logo patronatu Sejmiku, otrzymanej od Przewodniczącego Sejmiku lub przewodniczącego komisji Sejmiku właściwej do spraw promocji po udzieleniu patronatu.</w:t>
      </w:r>
    </w:p>
    <w:p w14:paraId="303F1953" w14:textId="77777777" w:rsidR="00971975" w:rsidRPr="00971975" w:rsidRDefault="00971975" w:rsidP="00971975">
      <w:pPr>
        <w:pStyle w:val="USTustnpkodeksu"/>
      </w:pPr>
      <w:r w:rsidRPr="00971975">
        <w:t>3. Logo patronatu Sejmiku nie może być zamieszczane bezpośrednio obok znaków graficznych podmiotów komercyjnych ani innych symboli, które mogłyby godzić w dobre imię Sejmiku.</w:t>
      </w:r>
    </w:p>
    <w:p w14:paraId="7FBB5ED7" w14:textId="2DCE15DE" w:rsidR="00971975" w:rsidRPr="00971975" w:rsidRDefault="00971975" w:rsidP="00971975">
      <w:pPr>
        <w:pStyle w:val="USTustnpkodeksu"/>
      </w:pPr>
      <w:r w:rsidRPr="00971975">
        <w:t>4. Wnioskodawca</w:t>
      </w:r>
      <w:r>
        <w:t>, o którym mowa w ust. 2</w:t>
      </w:r>
      <w:r w:rsidRPr="00971975">
        <w:t xml:space="preserve"> jest zobowiązany do przesłania projektu materiałów promocyjnych zawierających logo patronatu Sejmiku w postaci elektronicznej na adres przewodniczącego komisji Sejmiku właściwej do spraw promocji w celu akceptacji. Publikacja materiałów promocyjnych z wykorzystaniem logo Patronatu Sejmiku jest dozwolona wyłącznie po uzyskaniu akceptacji projektu przez przewodniczącego komisji.</w:t>
      </w:r>
    </w:p>
    <w:p w14:paraId="52324834" w14:textId="77777777" w:rsidR="00971975" w:rsidRPr="00971975" w:rsidRDefault="00971975" w:rsidP="00971975">
      <w:pPr>
        <w:pStyle w:val="ARTartustawynprozporzdzenia"/>
      </w:pPr>
      <w:r w:rsidRPr="00971975">
        <w:rPr>
          <w:rStyle w:val="Ppogrubienie"/>
        </w:rPr>
        <w:t>§ 6. </w:t>
      </w:r>
      <w:r w:rsidRPr="00971975">
        <w:t>1. W uzasadnionych przypadkach, Sejmik może cofnąć decyzję o udzieleniu patronatu.</w:t>
      </w:r>
    </w:p>
    <w:p w14:paraId="6E08D485" w14:textId="77777777" w:rsidR="00971975" w:rsidRPr="00971975" w:rsidRDefault="00971975" w:rsidP="00971975">
      <w:pPr>
        <w:pStyle w:val="USTustnpkodeksu"/>
      </w:pPr>
      <w:r w:rsidRPr="00971975">
        <w:t>2. Decyzja o cofnięciu patronatu jest ostateczna.</w:t>
      </w:r>
    </w:p>
    <w:p w14:paraId="63CDE627" w14:textId="77777777" w:rsidR="00971975" w:rsidRPr="00971975" w:rsidRDefault="00971975" w:rsidP="00971975">
      <w:pPr>
        <w:pStyle w:val="USTustnpkodeksu"/>
      </w:pPr>
      <w:r w:rsidRPr="00971975">
        <w:t>3. W przypadku cofnięcia patronatu wnioskodawca zobowiązany jest do:</w:t>
      </w:r>
    </w:p>
    <w:p w14:paraId="6D035F79" w14:textId="77777777" w:rsidR="00971975" w:rsidRPr="00971975" w:rsidRDefault="00971975" w:rsidP="00971975">
      <w:pPr>
        <w:pStyle w:val="PKTpunkt"/>
      </w:pPr>
      <w:r w:rsidRPr="00971975">
        <w:t>1)</w:t>
      </w:r>
      <w:r w:rsidRPr="00971975">
        <w:tab/>
        <w:t>usunięcia informacji o przyznanym patronacie ze wszystkich materiałów promocyjnych, stron internetowych i mediów społecznościowych;</w:t>
      </w:r>
    </w:p>
    <w:p w14:paraId="3572A815" w14:textId="77777777" w:rsidR="00971975" w:rsidRPr="00971975" w:rsidRDefault="00971975" w:rsidP="00971975">
      <w:pPr>
        <w:pStyle w:val="PKTpunkt"/>
      </w:pPr>
      <w:r w:rsidRPr="00971975">
        <w:t>2)</w:t>
      </w:r>
      <w:r w:rsidRPr="00971975">
        <w:tab/>
        <w:t>zaprzestania używania logo patronatu Sejmiku w związku z przedsięwzięciem.</w:t>
      </w:r>
    </w:p>
    <w:p w14:paraId="3C1E038B" w14:textId="196A6CD5" w:rsidR="00261A16" w:rsidRPr="00737F6A" w:rsidRDefault="00971975" w:rsidP="00971975">
      <w:pPr>
        <w:pStyle w:val="ARTartustawynprozporzdzenia"/>
      </w:pPr>
      <w:r w:rsidRPr="00971975">
        <w:rPr>
          <w:rStyle w:val="Ppogrubienie"/>
        </w:rPr>
        <w:t>§ 7. </w:t>
      </w:r>
      <w:r w:rsidRPr="00971975">
        <w:t>Po zakończeniu przedsięwzięcia objętego patronatem wnioskodawca zobowiązany jest przesłać na adres poczty elektronicznej Sejmiku (mlodziezowysejmik@wzp.pl) informację o jego przebiegu oraz dokumentację zdjęciową w terminie 30 dni od dnia zakończenia przedsięwzięcia.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3BDA0" w14:textId="77777777" w:rsidR="00B24BE5" w:rsidRDefault="00B24BE5">
      <w:r>
        <w:separator/>
      </w:r>
    </w:p>
  </w:endnote>
  <w:endnote w:type="continuationSeparator" w:id="0">
    <w:p w14:paraId="42262D3B" w14:textId="77777777" w:rsidR="00B24BE5" w:rsidRDefault="00B2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1C5D6" w14:textId="77777777" w:rsidR="00B24BE5" w:rsidRDefault="00B24BE5">
      <w:r>
        <w:separator/>
      </w:r>
    </w:p>
  </w:footnote>
  <w:footnote w:type="continuationSeparator" w:id="0">
    <w:p w14:paraId="79A98099" w14:textId="77777777" w:rsidR="00B24BE5" w:rsidRDefault="00B24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BEA4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8693950">
    <w:abstractNumId w:val="23"/>
  </w:num>
  <w:num w:numId="2" w16cid:durableId="1356811988">
    <w:abstractNumId w:val="23"/>
  </w:num>
  <w:num w:numId="3" w16cid:durableId="1909920944">
    <w:abstractNumId w:val="18"/>
  </w:num>
  <w:num w:numId="4" w16cid:durableId="893391435">
    <w:abstractNumId w:val="18"/>
  </w:num>
  <w:num w:numId="5" w16cid:durableId="367610521">
    <w:abstractNumId w:val="35"/>
  </w:num>
  <w:num w:numId="6" w16cid:durableId="2130319914">
    <w:abstractNumId w:val="31"/>
  </w:num>
  <w:num w:numId="7" w16cid:durableId="1623925493">
    <w:abstractNumId w:val="35"/>
  </w:num>
  <w:num w:numId="8" w16cid:durableId="1101878605">
    <w:abstractNumId w:val="31"/>
  </w:num>
  <w:num w:numId="9" w16cid:durableId="1475373871">
    <w:abstractNumId w:val="35"/>
  </w:num>
  <w:num w:numId="10" w16cid:durableId="435827580">
    <w:abstractNumId w:val="31"/>
  </w:num>
  <w:num w:numId="11" w16cid:durableId="1316954257">
    <w:abstractNumId w:val="14"/>
  </w:num>
  <w:num w:numId="12" w16cid:durableId="1491480724">
    <w:abstractNumId w:val="10"/>
  </w:num>
  <w:num w:numId="13" w16cid:durableId="1217281634">
    <w:abstractNumId w:val="15"/>
  </w:num>
  <w:num w:numId="14" w16cid:durableId="1288270310">
    <w:abstractNumId w:val="26"/>
  </w:num>
  <w:num w:numId="15" w16cid:durableId="2116557475">
    <w:abstractNumId w:val="14"/>
  </w:num>
  <w:num w:numId="16" w16cid:durableId="626618817">
    <w:abstractNumId w:val="16"/>
  </w:num>
  <w:num w:numId="17" w16cid:durableId="1025251207">
    <w:abstractNumId w:val="8"/>
  </w:num>
  <w:num w:numId="18" w16cid:durableId="855578241">
    <w:abstractNumId w:val="3"/>
  </w:num>
  <w:num w:numId="19" w16cid:durableId="87123414">
    <w:abstractNumId w:val="2"/>
  </w:num>
  <w:num w:numId="20" w16cid:durableId="1222903947">
    <w:abstractNumId w:val="1"/>
  </w:num>
  <w:num w:numId="21" w16cid:durableId="120196818">
    <w:abstractNumId w:val="0"/>
  </w:num>
  <w:num w:numId="22" w16cid:durableId="1006518851">
    <w:abstractNumId w:val="9"/>
  </w:num>
  <w:num w:numId="23" w16cid:durableId="1955012724">
    <w:abstractNumId w:val="7"/>
  </w:num>
  <w:num w:numId="24" w16cid:durableId="1529027864">
    <w:abstractNumId w:val="6"/>
  </w:num>
  <w:num w:numId="25" w16cid:durableId="1585996179">
    <w:abstractNumId w:val="5"/>
  </w:num>
  <w:num w:numId="26" w16cid:durableId="867068548">
    <w:abstractNumId w:val="4"/>
  </w:num>
  <w:num w:numId="27" w16cid:durableId="416754082">
    <w:abstractNumId w:val="33"/>
  </w:num>
  <w:num w:numId="28" w16cid:durableId="890309830">
    <w:abstractNumId w:val="25"/>
  </w:num>
  <w:num w:numId="29" w16cid:durableId="571702789">
    <w:abstractNumId w:val="36"/>
  </w:num>
  <w:num w:numId="30" w16cid:durableId="406151938">
    <w:abstractNumId w:val="32"/>
  </w:num>
  <w:num w:numId="31" w16cid:durableId="210926898">
    <w:abstractNumId w:val="19"/>
  </w:num>
  <w:num w:numId="32" w16cid:durableId="784085288">
    <w:abstractNumId w:val="11"/>
  </w:num>
  <w:num w:numId="33" w16cid:durableId="493841317">
    <w:abstractNumId w:val="30"/>
  </w:num>
  <w:num w:numId="34" w16cid:durableId="1689479961">
    <w:abstractNumId w:val="20"/>
  </w:num>
  <w:num w:numId="35" w16cid:durableId="461266334">
    <w:abstractNumId w:val="17"/>
  </w:num>
  <w:num w:numId="36" w16cid:durableId="242420590">
    <w:abstractNumId w:val="22"/>
  </w:num>
  <w:num w:numId="37" w16cid:durableId="717244033">
    <w:abstractNumId w:val="27"/>
  </w:num>
  <w:num w:numId="38" w16cid:durableId="386029231">
    <w:abstractNumId w:val="24"/>
  </w:num>
  <w:num w:numId="39" w16cid:durableId="930087997">
    <w:abstractNumId w:val="13"/>
  </w:num>
  <w:num w:numId="40" w16cid:durableId="1591233705">
    <w:abstractNumId w:val="29"/>
  </w:num>
  <w:num w:numId="41" w16cid:durableId="630405628">
    <w:abstractNumId w:val="28"/>
  </w:num>
  <w:num w:numId="42" w16cid:durableId="659770051">
    <w:abstractNumId w:val="21"/>
  </w:num>
  <w:num w:numId="43" w16cid:durableId="306132722">
    <w:abstractNumId w:val="34"/>
  </w:num>
  <w:num w:numId="44" w16cid:durableId="12022836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75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4539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71975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4C07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BE5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D1AB0"/>
  <w15:docId w15:val="{FF89C7B2-C564-4993-A740-C9EBAB8F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P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Jan Niemczyk</dc:creator>
  <cp:lastModifiedBy>Jan Niemczyk</cp:lastModifiedBy>
  <cp:revision>2</cp:revision>
  <cp:lastPrinted>2012-04-23T06:39:00Z</cp:lastPrinted>
  <dcterms:created xsi:type="dcterms:W3CDTF">2025-01-16T21:10:00Z</dcterms:created>
  <dcterms:modified xsi:type="dcterms:W3CDTF">2025-01-16T21:12:00Z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